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5366"/>
        <w:gridCol w:w="288"/>
        <w:gridCol w:w="3060"/>
      </w:tblGrid>
      <w:tr w:rsidR="0006589B" w14:paraId="2F044235" w14:textId="77777777" w:rsidTr="002C39E4">
        <w:trPr>
          <w:trHeight w:val="1885"/>
        </w:trPr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47324B" w14:textId="77777777" w:rsidR="00176235" w:rsidRDefault="00176235"/>
          <w:p w14:paraId="4EBD9E29" w14:textId="7901F5FF" w:rsidR="0006589B" w:rsidRDefault="00176235">
            <w:r w:rsidRPr="00176235">
              <w:rPr>
                <w:noProof/>
              </w:rPr>
              <w:drawing>
                <wp:inline distT="0" distB="0" distL="0" distR="0" wp14:anchorId="2C2C283E" wp14:editId="7E7E7A8E">
                  <wp:extent cx="1044358" cy="876300"/>
                  <wp:effectExtent l="0" t="0" r="3810" b="0"/>
                  <wp:docPr id="108088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13" cy="87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624C1" w14:textId="332D8239" w:rsidR="00176235" w:rsidRDefault="00176235"/>
        </w:tc>
        <w:tc>
          <w:tcPr>
            <w:tcW w:w="5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61BB9CFD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Tuesday, </w:t>
            </w:r>
            <w:r w:rsidR="003B2D36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March 25</w:t>
            </w:r>
            <w:r w:rsidR="00452AD3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 2025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33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7A1854" w14:textId="1C0E5E02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="00F06F28">
              <w:rPr>
                <w:rFonts w:asciiTheme="minorHAnsi" w:hAnsiTheme="minorHAnsi" w:cstheme="minorHAnsi"/>
                <w:sz w:val="32"/>
                <w:szCs w:val="32"/>
              </w:rPr>
              <w:t>Ms. Wood</w:t>
            </w:r>
          </w:p>
        </w:tc>
      </w:tr>
      <w:tr w:rsidR="0006589B" w14:paraId="5E981C4B" w14:textId="77777777" w:rsidTr="00F17624">
        <w:tc>
          <w:tcPr>
            <w:tcW w:w="10685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497720">
        <w:trPr>
          <w:trHeight w:val="2200"/>
        </w:trPr>
        <w:tc>
          <w:tcPr>
            <w:tcW w:w="762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0875E1" w14:textId="30A7AB03" w:rsidR="002E1B42" w:rsidRPr="00AB4AA6" w:rsidRDefault="00E96CB4" w:rsidP="002E1B42">
            <w:pPr>
              <w:pStyle w:val="TableParagraph"/>
              <w:ind w:left="95" w:right="392"/>
              <w:rPr>
                <w:rFonts w:asciiTheme="minorHAnsi" w:hAnsiTheme="minorHAnsi" w:cstheme="minorHAnsi"/>
              </w:rPr>
            </w:pPr>
            <w:r w:rsidRPr="00AB4AA6">
              <w:rPr>
                <w:rFonts w:asciiTheme="minorHAnsi" w:hAnsiTheme="minorHAnsi" w:cstheme="minorHAnsi"/>
              </w:rPr>
              <w:t>Meeting called to order at 6:</w:t>
            </w:r>
            <w:r w:rsidR="00A36D05">
              <w:rPr>
                <w:rFonts w:asciiTheme="minorHAnsi" w:hAnsiTheme="minorHAnsi" w:cstheme="minorHAnsi"/>
              </w:rPr>
              <w:t>20</w:t>
            </w:r>
            <w:r w:rsidRPr="00AB4AA6">
              <w:rPr>
                <w:rFonts w:asciiTheme="minorHAnsi" w:hAnsiTheme="minorHAnsi" w:cstheme="minorHAnsi"/>
              </w:rPr>
              <w:t xml:space="preserve"> p.m.</w:t>
            </w:r>
            <w:r w:rsidR="002E1B42" w:rsidRPr="00AB4AA6">
              <w:rPr>
                <w:rFonts w:asciiTheme="minorHAnsi" w:hAnsiTheme="minorHAnsi" w:cstheme="minorHAnsi"/>
              </w:rPr>
              <w:t xml:space="preserve"> </w:t>
            </w:r>
          </w:p>
          <w:p w14:paraId="55C6F5F5" w14:textId="469EF07C" w:rsidR="0006589B" w:rsidRPr="00AB4AA6" w:rsidRDefault="000658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3A9CF3" w14:textId="127C901F" w:rsidR="0003232F" w:rsidRPr="00AB4AA6" w:rsidRDefault="0006589B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Introductions</w:t>
            </w:r>
            <w:r w:rsidR="0003232F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Welcome and Overview</w:t>
            </w:r>
          </w:p>
          <w:p w14:paraId="4B99C2AB" w14:textId="542220CE" w:rsidR="0003232F" w:rsidRDefault="0003232F" w:rsidP="0003232F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Ms. Wood-SAC Chair</w:t>
            </w:r>
            <w:r w:rsidR="00F06F28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Mr. Vasile Co-Chair</w:t>
            </w:r>
          </w:p>
          <w:p w14:paraId="32FD4D24" w14:textId="353E0613" w:rsidR="00F45968" w:rsidRPr="00AC640C" w:rsidRDefault="00F45968" w:rsidP="00AC640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Nadia reported on Parent Coalition Team with SAC advisory members.  This is </w:t>
            </w:r>
            <w:proofErr w:type="gramStart"/>
            <w:r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similar to</w:t>
            </w:r>
            <w:proofErr w:type="gramEnd"/>
            <w:r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Parent Task Force in prior year</w:t>
            </w:r>
            <w:r w:rsidR="00C442CC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6553A9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District is requesting feedback from parents. They want to hear what parents want/need and concerns.  They are launching new initiatives – Literacy Nights for students and parents, Parent University meant to </w:t>
            </w:r>
            <w:r w:rsidR="00D47CA1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</w:t>
            </w:r>
            <w:r w:rsidR="006553A9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parents of items they may not be aware of,</w:t>
            </w:r>
            <w:r w:rsidR="00D47CA1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Faith based community forum – talk about faith in the community,</w:t>
            </w:r>
            <w:r w:rsidR="006553A9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Motivational Week April 7-11 currently focused on Title I schools</w:t>
            </w:r>
            <w:r w:rsidR="00320F16" w:rsidRPr="00AC64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bring speakers to the school to motivate teachers.  The team meets via Zoom every 2 weeks anyone can attend.  If you want to be involved, provide your contact information to Nadia Wood</w:t>
            </w:r>
          </w:p>
          <w:p w14:paraId="64CDE98B" w14:textId="77777777" w:rsidR="0003232F" w:rsidRPr="00AB4AA6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1DA339" w14:textId="60E5F626" w:rsidR="0003232F" w:rsidRPr="00AB4AA6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Establish Quorum for Voting Members</w:t>
            </w:r>
            <w:r w:rsidR="005D4A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="00B743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5D4A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members in attendance)</w:t>
            </w:r>
          </w:p>
          <w:p w14:paraId="588A740C" w14:textId="341C8A7E" w:rsidR="002E1B42" w:rsidRPr="00AB4AA6" w:rsidRDefault="002E1B42" w:rsidP="009B1E12">
            <w:pPr>
              <w:pStyle w:val="TableParagraph"/>
              <w:numPr>
                <w:ilvl w:val="0"/>
                <w:numId w:val="7"/>
              </w:numPr>
              <w:ind w:right="392"/>
              <w:rPr>
                <w:rFonts w:asciiTheme="minorHAnsi" w:hAnsiTheme="minorHAnsi" w:cstheme="minorHAnsi"/>
              </w:rPr>
            </w:pPr>
            <w:r w:rsidRPr="00AB4AA6">
              <w:rPr>
                <w:rFonts w:asciiTheme="minorHAnsi" w:hAnsiTheme="minorHAnsi" w:cstheme="minorHAnsi"/>
              </w:rPr>
              <w:t xml:space="preserve">Attendance: Nadia Wood, Beth </w:t>
            </w:r>
            <w:proofErr w:type="spellStart"/>
            <w:r w:rsidRPr="00AB4AA6">
              <w:rPr>
                <w:rFonts w:asciiTheme="minorHAnsi" w:hAnsiTheme="minorHAnsi" w:cstheme="minorHAnsi"/>
              </w:rPr>
              <w:t>Cendere</w:t>
            </w:r>
            <w:proofErr w:type="spellEnd"/>
            <w:r w:rsidRPr="00AB4AA6">
              <w:rPr>
                <w:rFonts w:asciiTheme="minorHAnsi" w:hAnsiTheme="minorHAnsi" w:cstheme="minorHAnsi"/>
              </w:rPr>
              <w:t>, Jen Franczyk</w:t>
            </w:r>
            <w:r w:rsidR="00497720" w:rsidRPr="00AB4AA6">
              <w:rPr>
                <w:rFonts w:asciiTheme="minorHAnsi" w:hAnsiTheme="minorHAnsi" w:cstheme="minorHAnsi"/>
              </w:rPr>
              <w:t>,</w:t>
            </w:r>
            <w:r w:rsidRPr="00AB4AA6">
              <w:rPr>
                <w:rFonts w:asciiTheme="minorHAnsi" w:hAnsiTheme="minorHAnsi" w:cstheme="minorHAnsi"/>
              </w:rPr>
              <w:t xml:space="preserve"> Anthony Vasile, Irene </w:t>
            </w:r>
            <w:proofErr w:type="spellStart"/>
            <w:r w:rsidRPr="00AB4AA6">
              <w:rPr>
                <w:rFonts w:asciiTheme="minorHAnsi" w:hAnsiTheme="minorHAnsi" w:cstheme="minorHAnsi"/>
              </w:rPr>
              <w:t>Nikitopoulos</w:t>
            </w:r>
            <w:proofErr w:type="spellEnd"/>
            <w:r w:rsidR="00497720" w:rsidRPr="00AB4AA6">
              <w:rPr>
                <w:rFonts w:asciiTheme="minorHAnsi" w:hAnsiTheme="minorHAnsi" w:cstheme="minorHAnsi"/>
              </w:rPr>
              <w:t xml:space="preserve">, </w:t>
            </w:r>
            <w:r w:rsidR="00095630" w:rsidRPr="00AB4AA6">
              <w:rPr>
                <w:rFonts w:asciiTheme="minorHAnsi" w:hAnsiTheme="minorHAnsi" w:cstheme="minorHAnsi"/>
              </w:rPr>
              <w:t xml:space="preserve">Michael Carlile, </w:t>
            </w:r>
            <w:r w:rsidR="00497720" w:rsidRPr="00AB4AA6">
              <w:rPr>
                <w:rFonts w:asciiTheme="minorHAnsi" w:hAnsiTheme="minorHAnsi" w:cstheme="minorHAnsi"/>
              </w:rPr>
              <w:t xml:space="preserve">Erika </w:t>
            </w:r>
            <w:proofErr w:type="spellStart"/>
            <w:r w:rsidR="00497720" w:rsidRPr="00AB4AA6">
              <w:rPr>
                <w:rFonts w:asciiTheme="minorHAnsi" w:hAnsiTheme="minorHAnsi" w:cstheme="minorHAnsi"/>
              </w:rPr>
              <w:t>ValleRodriguez</w:t>
            </w:r>
            <w:proofErr w:type="spellEnd"/>
            <w:r w:rsidR="00497720" w:rsidRPr="00AB4AA6">
              <w:rPr>
                <w:rFonts w:asciiTheme="minorHAnsi" w:hAnsiTheme="minorHAnsi" w:cstheme="minorHAnsi"/>
              </w:rPr>
              <w:t xml:space="preserve">, </w:t>
            </w:r>
            <w:r w:rsidR="00AA1D6A">
              <w:rPr>
                <w:rFonts w:asciiTheme="minorHAnsi" w:hAnsiTheme="minorHAnsi" w:cstheme="minorHAnsi"/>
              </w:rPr>
              <w:t>Sara Washio</w:t>
            </w:r>
            <w:r w:rsidR="0060587B">
              <w:rPr>
                <w:rFonts w:asciiTheme="minorHAnsi" w:hAnsiTheme="minorHAnsi" w:cstheme="minorHAnsi"/>
              </w:rPr>
              <w:t xml:space="preserve">, </w:t>
            </w:r>
          </w:p>
          <w:p w14:paraId="25686787" w14:textId="77777777" w:rsidR="00F06F28" w:rsidRPr="00AB4AA6" w:rsidRDefault="00F06F28" w:rsidP="002E1B42">
            <w:pPr>
              <w:pStyle w:val="TableParagraph"/>
              <w:ind w:left="95" w:right="392"/>
              <w:rPr>
                <w:rFonts w:asciiTheme="minorHAnsi" w:hAnsiTheme="minorHAnsi" w:cstheme="minorHAnsi"/>
              </w:rPr>
            </w:pPr>
          </w:p>
          <w:p w14:paraId="28EB81C7" w14:textId="77777777" w:rsidR="00665515" w:rsidRDefault="00F06F28" w:rsidP="00665515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Administrator’s Report – Ms. </w:t>
            </w:r>
            <w:proofErr w:type="spellStart"/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Nikitopoulos</w:t>
            </w:r>
            <w:proofErr w:type="spellEnd"/>
          </w:p>
          <w:p w14:paraId="0F1770E2" w14:textId="1DC88D07" w:rsidR="00A809A1" w:rsidRDefault="00A809A1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Assessment Updates (Spring FAST Testing)</w:t>
            </w:r>
          </w:p>
          <w:p w14:paraId="03BE6890" w14:textId="7EB60A37" w:rsidR="00215FB6" w:rsidRDefault="00A809A1" w:rsidP="00215FB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</w:t>
            </w:r>
            <w:r w:rsidR="00F214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 April 2 – Writing Test</w:t>
            </w:r>
          </w:p>
          <w:p w14:paraId="3477854E" w14:textId="0AEBA126" w:rsidR="00F214A3" w:rsidRDefault="00F214A3" w:rsidP="00215FB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–May 1 – </w:t>
            </w:r>
            <w:r w:rsidR="000B3C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0B3C18" w:rsidRPr="000B3C1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th</w:t>
            </w:r>
            <w:r w:rsidR="000B3C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Science</w:t>
            </w:r>
          </w:p>
          <w:p w14:paraId="526963EC" w14:textId="4098611D" w:rsidR="000B3C18" w:rsidRDefault="000B3C18" w:rsidP="000B3C18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–May </w:t>
            </w:r>
            <w:r w:rsidR="005C41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</w:t>
            </w:r>
            <w:r w:rsidR="005C41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Reading FAST all grades</w:t>
            </w:r>
          </w:p>
          <w:p w14:paraId="16158FE2" w14:textId="678FFFD6" w:rsidR="005C4104" w:rsidRDefault="005C4104" w:rsidP="000B3C18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–May 20 –Math FAST all grades</w:t>
            </w:r>
          </w:p>
          <w:p w14:paraId="1A73E2FE" w14:textId="6CB7E602" w:rsidR="00F214A3" w:rsidRDefault="00F214A3" w:rsidP="00F214A3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–May </w:t>
            </w:r>
            <w:r w:rsidR="00F376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– </w:t>
            </w:r>
            <w:r w:rsidR="00F376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Civics</w:t>
            </w:r>
            <w:r w:rsidR="005C41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only students in Civics</w:t>
            </w:r>
          </w:p>
          <w:p w14:paraId="6FCE983A" w14:textId="31D70FDF" w:rsidR="007D0784" w:rsidRDefault="007D0784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Behavior Card Tracking System</w:t>
            </w:r>
            <w:r w:rsidR="0066551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6B8F159" w14:textId="32520A02" w:rsidR="00665515" w:rsidRDefault="00665515" w:rsidP="00665515">
            <w:pPr>
              <w:ind w:left="7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Receiving great response from the students. </w:t>
            </w:r>
            <w:r w:rsidR="00A809A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Has been a success.  Will resend information to parent to get more to sign up.</w:t>
            </w:r>
          </w:p>
          <w:p w14:paraId="7DB0B69F" w14:textId="1FF74EFD" w:rsidR="000B0F28" w:rsidRDefault="000B0F28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Construction Update &amp; Heating System</w:t>
            </w:r>
          </w:p>
          <w:p w14:paraId="00A8B54C" w14:textId="7E9CD1D9" w:rsidR="00384932" w:rsidRDefault="00384932" w:rsidP="00384932">
            <w:pPr>
              <w:ind w:left="7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Pending items on the punch list, cabinets in main building, and lockers</w:t>
            </w:r>
          </w:p>
          <w:p w14:paraId="0D61BDE9" w14:textId="5EC5C659" w:rsidR="00452F16" w:rsidRDefault="00452F16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25/26 Enrollment</w:t>
            </w:r>
          </w:p>
          <w:p w14:paraId="116839C6" w14:textId="42697978" w:rsidR="00452F16" w:rsidRDefault="00BA42DF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</w:t>
            </w:r>
            <w:r w:rsidR="00452F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Estimated Enrollment for 25/26 as of March 25</w:t>
            </w:r>
          </w:p>
          <w:p w14:paraId="667D2BA2" w14:textId="6365B9CC" w:rsidR="00452F16" w:rsidRDefault="00452F16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</w:t>
            </w:r>
            <w:r w:rsidR="00BA42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Grade 6 – 306 </w:t>
            </w:r>
          </w:p>
          <w:p w14:paraId="6AFFC35C" w14:textId="5095B2B5" w:rsidR="00452F16" w:rsidRDefault="00452F16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  <w:r w:rsidR="00BA42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Grade 7 – 268</w:t>
            </w:r>
          </w:p>
          <w:p w14:paraId="70F694A2" w14:textId="19F59D4D" w:rsidR="00452F16" w:rsidRDefault="00452F16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</w:t>
            </w:r>
            <w:r w:rsidR="00BA42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Grade 8 – 210</w:t>
            </w:r>
          </w:p>
          <w:p w14:paraId="3EB10090" w14:textId="7FFB6E50" w:rsidR="00452F16" w:rsidRDefault="00BA42DF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</w:t>
            </w:r>
            <w:r w:rsidR="00452F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Enrollment for 24/</w:t>
            </w:r>
            <w:proofErr w:type="gramStart"/>
            <w:r w:rsidR="00452F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  -</w:t>
            </w:r>
            <w:proofErr w:type="gramEnd"/>
            <w:r w:rsidR="00452F1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current 717</w:t>
            </w:r>
          </w:p>
          <w:p w14:paraId="58A5BA72" w14:textId="77777777" w:rsidR="00BA42DF" w:rsidRDefault="00BA42DF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F7BD36" w14:textId="77777777" w:rsidR="00BA42DF" w:rsidRDefault="00BA42DF" w:rsidP="00452F16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996CE8A" w14:textId="7EBE218B" w:rsidR="00452F16" w:rsidRDefault="00452F16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ESE  Support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Plan</w:t>
            </w:r>
          </w:p>
          <w:p w14:paraId="60F03735" w14:textId="35376408" w:rsidR="0054159E" w:rsidRDefault="0054159E" w:rsidP="0054159E">
            <w:pPr>
              <w:pStyle w:val="ListParagraph"/>
              <w:ind w:left="81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Green zone for students with disabilities.  For the past 5 years we have been rated a D but are not projected to move into a C. </w:t>
            </w:r>
          </w:p>
          <w:p w14:paraId="0065B23A" w14:textId="77777777" w:rsidR="00BA42DF" w:rsidRDefault="00452F16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Media Center Requests </w:t>
            </w:r>
          </w:p>
          <w:p w14:paraId="7AE0016C" w14:textId="50276111" w:rsidR="00700830" w:rsidRDefault="00700830" w:rsidP="00700830">
            <w:pPr>
              <w:pStyle w:val="ListParagraph"/>
              <w:ind w:left="81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A42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book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requested</w:t>
            </w:r>
            <w:r w:rsidRPr="00BA42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be purchased.  List of book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Pr="00BA42D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provided to the committee to review.  </w:t>
            </w:r>
          </w:p>
          <w:p w14:paraId="44C1B518" w14:textId="0385F315" w:rsidR="00700830" w:rsidRDefault="00700830" w:rsidP="00BA42D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SAC Internal Budget</w:t>
            </w:r>
          </w:p>
          <w:p w14:paraId="0D832FE4" w14:textId="7F0AEF3F" w:rsidR="00BA42DF" w:rsidRDefault="00700830" w:rsidP="00700830">
            <w:pPr>
              <w:pStyle w:val="ListParagraph"/>
              <w:ind w:left="81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 balance $2518.  Will review if the funds have been previously allocated if not then committee will vote on where to spend the funds during next meeting. </w:t>
            </w:r>
          </w:p>
          <w:p w14:paraId="16772CD7" w14:textId="7650344F" w:rsidR="00000283" w:rsidRPr="00AB4AA6" w:rsidRDefault="00000283" w:rsidP="00BA42DF">
            <w:pPr>
              <w:pStyle w:val="ListParagraph"/>
              <w:ind w:left="81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B940092" w14:textId="2FAB5BE4" w:rsidR="00F06F28" w:rsidRDefault="00F06F28" w:rsidP="00F1762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 Learning Environment Committee</w:t>
            </w:r>
          </w:p>
          <w:p w14:paraId="35BFF504" w14:textId="6F5D0DA3" w:rsidR="00195233" w:rsidRDefault="00195233" w:rsidP="00F011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Passed inspection.  The inspection occurs 1 every 3 years.</w:t>
            </w:r>
          </w:p>
          <w:p w14:paraId="2FDDB1A2" w14:textId="3A7BAD9B" w:rsidR="00665515" w:rsidRDefault="00665515" w:rsidP="00F011D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Next Year there will be 3 guardians on campus</w:t>
            </w:r>
            <w:r w:rsidR="003A11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 1 is supervisor which will be stationed at Haile</w:t>
            </w:r>
          </w:p>
          <w:p w14:paraId="1BBF1410" w14:textId="60D77AB9" w:rsidR="00F376B7" w:rsidRPr="00AB4AA6" w:rsidRDefault="00F376B7" w:rsidP="00665515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-The purpose of the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committee  is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develop or review of school center crises plan, develop strategies aimed at diminishing disruptive behavior in the school.  The committee may be a subcommittee of the school improvement committee.</w:t>
            </w:r>
          </w:p>
          <w:p w14:paraId="2D4CA6DB" w14:textId="14E95377" w:rsidR="00E4743B" w:rsidRPr="00AB4AA6" w:rsidRDefault="00E4743B" w:rsidP="00E4743B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Requested agenda items for next meeting</w:t>
            </w:r>
          </w:p>
          <w:p w14:paraId="6C118C72" w14:textId="1F987A1D" w:rsidR="00E4743B" w:rsidRPr="00AB4AA6" w:rsidRDefault="00E4743B" w:rsidP="00E4743B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Adjournment</w:t>
            </w:r>
          </w:p>
          <w:p w14:paraId="22533731" w14:textId="77777777" w:rsidR="00C320FF" w:rsidRPr="00AB4AA6" w:rsidRDefault="00C320FF" w:rsidP="00C320FF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4C1D78" w14:textId="77777777" w:rsidR="00C320FF" w:rsidRPr="00AB4AA6" w:rsidRDefault="00C320FF" w:rsidP="00C320F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B853261" w14:textId="2C79D9DA" w:rsidR="0006589B" w:rsidRPr="00AB4AA6" w:rsidRDefault="00C320FF" w:rsidP="00A01B1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 </w:t>
            </w:r>
            <w:r w:rsidR="008F1E48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Adjourn</w:t>
            </w: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</w:t>
            </w:r>
            <w:r w:rsidR="008F1E48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36D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7:02</w:t>
            </w:r>
            <w:r w:rsidR="008F1E48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pm</w:t>
            </w:r>
          </w:p>
          <w:p w14:paraId="45A89954" w14:textId="3DF21FEE" w:rsidR="002C39E4" w:rsidRDefault="002C39E4" w:rsidP="002C39E4"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Next Meeting: </w:t>
            </w:r>
            <w:r w:rsidR="00452A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April </w:t>
            </w:r>
            <w:r w:rsidR="005D4A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  <w:r w:rsidR="00871600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2025</w:t>
            </w:r>
          </w:p>
        </w:tc>
        <w:tc>
          <w:tcPr>
            <w:tcW w:w="3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 w:rsidSect="00F17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2813"/>
    <w:multiLevelType w:val="hybridMultilevel"/>
    <w:tmpl w:val="5C5470A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14DF50FA"/>
    <w:multiLevelType w:val="hybridMultilevel"/>
    <w:tmpl w:val="A74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533"/>
    <w:multiLevelType w:val="hybridMultilevel"/>
    <w:tmpl w:val="D562B0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E00492"/>
    <w:multiLevelType w:val="hybridMultilevel"/>
    <w:tmpl w:val="4226F5F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0D4F"/>
    <w:multiLevelType w:val="hybridMultilevel"/>
    <w:tmpl w:val="31DAF36E"/>
    <w:lvl w:ilvl="0" w:tplc="C9F2F07A">
      <w:numFmt w:val="bullet"/>
      <w:lvlText w:val="-"/>
      <w:lvlJc w:val="left"/>
      <w:pPr>
        <w:ind w:left="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4013EDE"/>
    <w:multiLevelType w:val="hybridMultilevel"/>
    <w:tmpl w:val="51EC50C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41F"/>
    <w:multiLevelType w:val="hybridMultilevel"/>
    <w:tmpl w:val="A53A0C0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3F8520AD"/>
    <w:multiLevelType w:val="hybridMultilevel"/>
    <w:tmpl w:val="2D8A5996"/>
    <w:lvl w:ilvl="0" w:tplc="56205CB0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F5F32"/>
    <w:multiLevelType w:val="hybridMultilevel"/>
    <w:tmpl w:val="B2944C68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5A3B4E79"/>
    <w:multiLevelType w:val="hybridMultilevel"/>
    <w:tmpl w:val="8920F95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4" w15:restartNumberingAfterBreak="0">
    <w:nsid w:val="5ECE50FB"/>
    <w:multiLevelType w:val="hybridMultilevel"/>
    <w:tmpl w:val="D660DBC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62E53"/>
    <w:multiLevelType w:val="hybridMultilevel"/>
    <w:tmpl w:val="7300378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7" w15:restartNumberingAfterBreak="0">
    <w:nsid w:val="7BE96123"/>
    <w:multiLevelType w:val="hybridMultilevel"/>
    <w:tmpl w:val="B1D49D8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562716905">
    <w:abstractNumId w:val="5"/>
  </w:num>
  <w:num w:numId="2" w16cid:durableId="1229877080">
    <w:abstractNumId w:val="11"/>
  </w:num>
  <w:num w:numId="3" w16cid:durableId="2024238289">
    <w:abstractNumId w:val="15"/>
  </w:num>
  <w:num w:numId="4" w16cid:durableId="1748261835">
    <w:abstractNumId w:val="8"/>
  </w:num>
  <w:num w:numId="5" w16cid:durableId="1065448899">
    <w:abstractNumId w:val="3"/>
  </w:num>
  <w:num w:numId="6" w16cid:durableId="2124179783">
    <w:abstractNumId w:val="2"/>
  </w:num>
  <w:num w:numId="7" w16cid:durableId="2000227151">
    <w:abstractNumId w:val="16"/>
  </w:num>
  <w:num w:numId="8" w16cid:durableId="1888027555">
    <w:abstractNumId w:val="4"/>
  </w:num>
  <w:num w:numId="9" w16cid:durableId="661666393">
    <w:abstractNumId w:val="7"/>
  </w:num>
  <w:num w:numId="10" w16cid:durableId="942349253">
    <w:abstractNumId w:val="0"/>
  </w:num>
  <w:num w:numId="11" w16cid:durableId="1614091747">
    <w:abstractNumId w:val="14"/>
  </w:num>
  <w:num w:numId="12" w16cid:durableId="312565293">
    <w:abstractNumId w:val="9"/>
  </w:num>
  <w:num w:numId="13" w16cid:durableId="881593703">
    <w:abstractNumId w:val="12"/>
  </w:num>
  <w:num w:numId="14" w16cid:durableId="2062365945">
    <w:abstractNumId w:val="17"/>
  </w:num>
  <w:num w:numId="15" w16cid:durableId="842626273">
    <w:abstractNumId w:val="10"/>
  </w:num>
  <w:num w:numId="16" w16cid:durableId="530454558">
    <w:abstractNumId w:val="6"/>
  </w:num>
  <w:num w:numId="17" w16cid:durableId="1396928761">
    <w:abstractNumId w:val="13"/>
  </w:num>
  <w:num w:numId="18" w16cid:durableId="53196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00283"/>
    <w:rsid w:val="0003232F"/>
    <w:rsid w:val="0006589B"/>
    <w:rsid w:val="00071351"/>
    <w:rsid w:val="00095630"/>
    <w:rsid w:val="000A21FC"/>
    <w:rsid w:val="000A3E95"/>
    <w:rsid w:val="000B0F28"/>
    <w:rsid w:val="000B3C18"/>
    <w:rsid w:val="001653AC"/>
    <w:rsid w:val="00176235"/>
    <w:rsid w:val="00195233"/>
    <w:rsid w:val="00212F7A"/>
    <w:rsid w:val="00215FB6"/>
    <w:rsid w:val="0021738C"/>
    <w:rsid w:val="00232EC5"/>
    <w:rsid w:val="00240E3C"/>
    <w:rsid w:val="002C39E4"/>
    <w:rsid w:val="002E1B42"/>
    <w:rsid w:val="002F7590"/>
    <w:rsid w:val="00302758"/>
    <w:rsid w:val="00320F16"/>
    <w:rsid w:val="0034318A"/>
    <w:rsid w:val="00384932"/>
    <w:rsid w:val="00386418"/>
    <w:rsid w:val="0039212C"/>
    <w:rsid w:val="00395BF3"/>
    <w:rsid w:val="003A1167"/>
    <w:rsid w:val="003A545E"/>
    <w:rsid w:val="003B2D36"/>
    <w:rsid w:val="003C5FCE"/>
    <w:rsid w:val="00435FD8"/>
    <w:rsid w:val="00452AD3"/>
    <w:rsid w:val="00452F16"/>
    <w:rsid w:val="00476A3C"/>
    <w:rsid w:val="00497720"/>
    <w:rsid w:val="004B2E04"/>
    <w:rsid w:val="0054159E"/>
    <w:rsid w:val="00576995"/>
    <w:rsid w:val="005A2B33"/>
    <w:rsid w:val="005B7398"/>
    <w:rsid w:val="005C4104"/>
    <w:rsid w:val="005D4A4C"/>
    <w:rsid w:val="005F205E"/>
    <w:rsid w:val="005F423B"/>
    <w:rsid w:val="0060587B"/>
    <w:rsid w:val="006553A9"/>
    <w:rsid w:val="00665515"/>
    <w:rsid w:val="00677DF6"/>
    <w:rsid w:val="006866F5"/>
    <w:rsid w:val="00700830"/>
    <w:rsid w:val="00703A7D"/>
    <w:rsid w:val="00771275"/>
    <w:rsid w:val="00782D43"/>
    <w:rsid w:val="00791EAD"/>
    <w:rsid w:val="007A4968"/>
    <w:rsid w:val="007C337F"/>
    <w:rsid w:val="007C5824"/>
    <w:rsid w:val="007D0784"/>
    <w:rsid w:val="00826D28"/>
    <w:rsid w:val="00871600"/>
    <w:rsid w:val="00881F99"/>
    <w:rsid w:val="00894791"/>
    <w:rsid w:val="00896741"/>
    <w:rsid w:val="008A2C19"/>
    <w:rsid w:val="008A56A1"/>
    <w:rsid w:val="008E0756"/>
    <w:rsid w:val="008F1E48"/>
    <w:rsid w:val="009019F1"/>
    <w:rsid w:val="00946106"/>
    <w:rsid w:val="009A594B"/>
    <w:rsid w:val="009B1E12"/>
    <w:rsid w:val="00A01B18"/>
    <w:rsid w:val="00A36D05"/>
    <w:rsid w:val="00A44E4E"/>
    <w:rsid w:val="00A631C5"/>
    <w:rsid w:val="00A7795A"/>
    <w:rsid w:val="00A809A1"/>
    <w:rsid w:val="00A83165"/>
    <w:rsid w:val="00A911E0"/>
    <w:rsid w:val="00AA1D6A"/>
    <w:rsid w:val="00AB4AA6"/>
    <w:rsid w:val="00AC640C"/>
    <w:rsid w:val="00AE29EF"/>
    <w:rsid w:val="00AF0364"/>
    <w:rsid w:val="00B05B6A"/>
    <w:rsid w:val="00B164DC"/>
    <w:rsid w:val="00B42126"/>
    <w:rsid w:val="00B72036"/>
    <w:rsid w:val="00B7430B"/>
    <w:rsid w:val="00B82210"/>
    <w:rsid w:val="00BA128A"/>
    <w:rsid w:val="00BA42DF"/>
    <w:rsid w:val="00C22074"/>
    <w:rsid w:val="00C320FF"/>
    <w:rsid w:val="00C442CC"/>
    <w:rsid w:val="00C533C5"/>
    <w:rsid w:val="00C75F67"/>
    <w:rsid w:val="00C97BEC"/>
    <w:rsid w:val="00CD18E0"/>
    <w:rsid w:val="00CD5BA1"/>
    <w:rsid w:val="00CF7E7E"/>
    <w:rsid w:val="00D47AC3"/>
    <w:rsid w:val="00D47CA1"/>
    <w:rsid w:val="00D65496"/>
    <w:rsid w:val="00DA14F1"/>
    <w:rsid w:val="00DF0EAA"/>
    <w:rsid w:val="00E0152B"/>
    <w:rsid w:val="00E4743B"/>
    <w:rsid w:val="00E71316"/>
    <w:rsid w:val="00E96217"/>
    <w:rsid w:val="00E96CB4"/>
    <w:rsid w:val="00ED64DD"/>
    <w:rsid w:val="00EF08CF"/>
    <w:rsid w:val="00F011D6"/>
    <w:rsid w:val="00F06F28"/>
    <w:rsid w:val="00F17624"/>
    <w:rsid w:val="00F214A3"/>
    <w:rsid w:val="00F376B7"/>
    <w:rsid w:val="00F45968"/>
    <w:rsid w:val="00F72B52"/>
    <w:rsid w:val="00F746E1"/>
    <w:rsid w:val="00F75A06"/>
    <w:rsid w:val="00F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7624"/>
    <w:pPr>
      <w:widowControl w:val="0"/>
      <w:autoSpaceDE w:val="0"/>
      <w:autoSpaceDN w:val="0"/>
      <w:ind w:left="1497"/>
    </w:pPr>
    <w:rPr>
      <w:rFonts w:ascii="Calibri" w:eastAsia="Calibri" w:hAnsi="Calibri" w:cs="Calibri"/>
      <w:color w:val="auto"/>
      <w:kern w:val="0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F06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Valle, Erika</cp:lastModifiedBy>
  <cp:revision>2</cp:revision>
  <dcterms:created xsi:type="dcterms:W3CDTF">2025-04-11T01:21:00Z</dcterms:created>
  <dcterms:modified xsi:type="dcterms:W3CDTF">2025-04-11T01:21:00Z</dcterms:modified>
</cp:coreProperties>
</file>